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F2937"/>
          <w:sz w:val="40"/>
          <w:szCs w:val="40"/>
        </w:rPr>
        <w:t xml:space="preserve">MATT CAVALLARO</w:t>
      </w:r>
    </w:p>
    <w:p>
      <w:pPr>
        <w:spacing w:after="120"/>
      </w:pPr>
      <w:r>
        <w:rPr>
          <w:color w:val="4B5563"/>
          <w:sz w:val="20"/>
          <w:szCs w:val="20"/>
        </w:rPr>
        <w:t xml:space="preserve">Sydney, Australia  |  mcav09@gmail.com  |  0401 441 949</w:t>
      </w:r>
    </w:p>
    <w:p>
      <w:pPr>
        <w:pBdr>
          <w:bottom w:val="single" w:color="CCCCCC" w:sz="6" w:space="4"/>
        </w:pBdr>
        <w:spacing w:after="160"/>
      </w:pPr>
    </w:p>
    <w:p>
      <w:pPr>
        <w:pStyle w:val="Heading2"/>
        <w:pBdr>
          <w:bottom w:val="single" w:color="CCCCCC" w:sz="4" w:space="2"/>
        </w:pBdr>
        <w:spacing w:after="80" w:before="160"/>
      </w:pPr>
      <w:r>
        <w:rPr>
          <w:b/>
          <w:bCs/>
          <w:color w:val="5B3EE0"/>
          <w:sz w:val="21"/>
          <w:szCs w:val="21"/>
        </w:rPr>
        <w:t xml:space="preserve">SUMMARY</w:t>
      </w:r>
    </w:p>
    <w:p>
      <w:pPr>
        <w:spacing w:after="60"/>
      </w:pPr>
      <w:r>
        <w:rPr>
          <w:sz w:val="21"/>
          <w:szCs w:val="21"/>
        </w:rPr>
        <w:t xml:space="preserve">Enterprise Account Executive with 5+ years of consistent quota attainment selling SaaS platforms into complex, multi-stakeholder enterprise accounts, and current experience building go-to-market from zero inside an early-stage AI startup. Owns the full sales cycle — prospecting through negotiating and closing complex, C-level enterprise agreements — and has personally stood up a new market from scratch, growing it to $700K ACV, $3M pipeline, and $2M TCV. Genuinely energised by AI as a category: works hands-on in the CLI to build and demo prototypes that bring technical and executive stakeholders to a shared vision, and is looking to bring that founder-level ownership to building out a region.</w:t>
      </w:r>
    </w:p>
    <w:p>
      <w:pPr>
        <w:pStyle w:val="Heading2"/>
        <w:pBdr>
          <w:bottom w:val="single" w:color="CCCCCC" w:sz="4" w:space="2"/>
        </w:pBdr>
        <w:spacing w:after="80" w:before="160"/>
      </w:pPr>
      <w:r>
        <w:rPr>
          <w:b/>
          <w:bCs/>
          <w:color w:val="5B3EE0"/>
          <w:sz w:val="21"/>
          <w:szCs w:val="21"/>
        </w:rPr>
        <w:t xml:space="preserve">EXPERIENCE</w:t>
      </w:r>
    </w:p>
    <w:p>
      <w:pPr>
        <w:tabs>
          <w:tab w:val="right" w:pos="9360"/>
        </w:tabs>
        <w:spacing w:after="20" w:before="100"/>
      </w:pPr>
      <w:r>
        <w:rPr>
          <w:b/>
          <w:bCs/>
          <w:sz w:val="22"/>
          <w:szCs w:val="22"/>
        </w:rPr>
        <w:t xml:space="preserve">GTM Lead, Education &amp; Social Enterprises</w:t>
      </w:r>
      <w:r>
        <w:rPr>
          <w:b/>
          <w:bCs/>
          <w:color w:val="4B5563"/>
          <w:sz w:val="22"/>
          <w:szCs w:val="22"/>
        </w:rPr>
        <w:t xml:space="preserve">  —  monō ai</w:t>
      </w:r>
      <w:r>
        <w:rPr>
          <w:i/>
          <w:iCs/>
          <w:color w:val="4B5563"/>
          <w:sz w:val="20"/>
          <w:szCs w:val="20"/>
        </w:rPr>
        <w:t xml:space="preserve">	Apr 2026 – Present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Operate as a founding go-to-market contributor at an early-stage AI startup, engineering and executing territory strategy from zero in a high-ambiguity, fast-moving environment.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Pioneer AI-native selling methods — building and deploying custom, clickable prototypes directly in the CLI to accelerate technical and executive buyer alignment, well ahead of typical seller technical fluency.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Partner cross-functionally with engineering and product to shape roadmap around customer needs, mirroring the close collaboration this role requires across Product, Marketing, Customer Success, and Engineering.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Forge strategic channel and industry partnerships to scale pipeline; on pace to generate $2M ARR within 12 months.</w:t>
      </w:r>
    </w:p>
    <w:p>
      <w:pPr>
        <w:tabs>
          <w:tab w:val="right" w:pos="9360"/>
        </w:tabs>
        <w:spacing w:after="20" w:before="100"/>
      </w:pPr>
      <w:r>
        <w:rPr>
          <w:b/>
          <w:bCs/>
          <w:sz w:val="22"/>
          <w:szCs w:val="22"/>
        </w:rPr>
        <w:t xml:space="preserve">Account Executive, Enterprise</w:t>
      </w:r>
      <w:r>
        <w:rPr>
          <w:b/>
          <w:bCs/>
          <w:color w:val="4B5563"/>
          <w:sz w:val="22"/>
          <w:szCs w:val="22"/>
        </w:rPr>
        <w:t xml:space="preserve">  —  Salesforce</w:t>
      </w:r>
      <w:r>
        <w:rPr>
          <w:i/>
          <w:iCs/>
          <w:color w:val="4B5563"/>
          <w:sz w:val="20"/>
          <w:szCs w:val="20"/>
        </w:rPr>
        <w:t xml:space="preserve">	Feb 2024 – Apr 2026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Owned full-cycle enterprise sales — prospecting through negotiation and close — across large, complex accounts spanning the entire east coast of Australia.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Structured and closed complex, multi-stakeholder enterprise agreements with senior executives; delivered 94% quota attainment in a newly built territory, 200%+ multi-year attainment, and 140% new-logo attainment.</w:t>
      </w:r>
    </w:p>
    <w:p>
      <w:pPr>
        <w:tabs>
          <w:tab w:val="right" w:pos="9360"/>
        </w:tabs>
        <w:spacing w:after="20" w:before="100"/>
      </w:pPr>
      <w:r>
        <w:rPr>
          <w:b/>
          <w:bCs/>
          <w:sz w:val="22"/>
          <w:szCs w:val="22"/>
        </w:rPr>
        <w:t xml:space="preserve">Account Executive, Mid-Market</w:t>
      </w:r>
      <w:r>
        <w:rPr>
          <w:b/>
          <w:bCs/>
          <w:color w:val="4B5563"/>
          <w:sz w:val="22"/>
          <w:szCs w:val="22"/>
        </w:rPr>
        <w:t xml:space="preserve">  —  Salesforce</w:t>
      </w:r>
      <w:r>
        <w:rPr>
          <w:i/>
          <w:iCs/>
          <w:color w:val="4B5563"/>
          <w:sz w:val="20"/>
          <w:szCs w:val="20"/>
        </w:rPr>
        <w:t xml:space="preserve">	Jun 2021 – 2024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Managed end-to-end strategic growth across a large enterprise account base on Australia's East Coast; maintained 100% median quota achievement over 5 years (vs. &lt;50% team average), exceeding multi-year targets 3x with consecutive years above 200%.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an entirely new market from the ground up — $700K ACV, $3M pipeline, $2M TCV — including closing the first three cloud platform customers live in the region.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Recruited and developed a network of systems-integrator partners to support the new market, and worked cross-functionally with marketing and product on regional go-to-market strategy.</w:t>
      </w:r>
    </w:p>
    <w:p>
      <w:pPr>
        <w:tabs>
          <w:tab w:val="right" w:pos="9360"/>
        </w:tabs>
        <w:spacing w:after="20" w:before="100"/>
      </w:pPr>
      <w:r>
        <w:rPr>
          <w:b/>
          <w:bCs/>
          <w:sz w:val="22"/>
          <w:szCs w:val="22"/>
        </w:rPr>
        <w:t xml:space="preserve">Lead AU Account Executive</w:t>
      </w:r>
      <w:r>
        <w:rPr>
          <w:b/>
          <w:bCs/>
          <w:color w:val="4B5563"/>
          <w:sz w:val="22"/>
          <w:szCs w:val="22"/>
        </w:rPr>
        <w:t xml:space="preserve">  —  Crimson Education</w:t>
      </w:r>
      <w:r>
        <w:rPr>
          <w:i/>
          <w:iCs/>
          <w:color w:val="4B5563"/>
          <w:sz w:val="20"/>
          <w:szCs w:val="20"/>
        </w:rPr>
        <w:t xml:space="preserve">	Aug 2020 – Mar 2021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Advised and sold directly to individual decision-makers in a fast-paced, target-driven advisory role.</w:t>
      </w:r>
    </w:p>
    <w:p>
      <w:pPr>
        <w:spacing w:after="40" w:before="160"/>
      </w:pPr>
      <w:r>
        <w:rPr>
          <w:b/>
          <w:bCs/>
          <w:color w:val="4B5563"/>
          <w:sz w:val="21"/>
          <w:szCs w:val="21"/>
        </w:rPr>
        <w:t xml:space="preserve">Earlier Career</w:t>
      </w:r>
    </w:p>
    <w:p>
      <w:pPr>
        <w:spacing w:after="60"/>
      </w:pPr>
      <w:r>
        <w:rPr>
          <w:sz w:val="21"/>
          <w:szCs w:val="21"/>
        </w:rPr>
        <w:t xml:space="preserve">Director of Student Development &amp; Wellbeing, Knox Grammar School (2020–2021)  ·  Head of Positive Education, Knox Grammar School (2016–2019)  ·  Head of Year, Geography &amp; English Teacher, Knox Grammar School (2006–2016). Nearly 20 years in senior leadership roles managing complex stakeholder relationships, leading teams, and driving organisational change inside large institutions — the foundation for the executive presence and stakeholder management this role demands.</w:t>
      </w:r>
    </w:p>
    <w:p>
      <w:pPr>
        <w:pStyle w:val="Heading2"/>
        <w:pBdr>
          <w:bottom w:val="single" w:color="CCCCCC" w:sz="4" w:space="2"/>
        </w:pBdr>
        <w:spacing w:after="80" w:before="160"/>
      </w:pPr>
      <w:r>
        <w:rPr>
          <w:b/>
          <w:bCs/>
          <w:color w:val="5B3EE0"/>
          <w:sz w:val="21"/>
          <w:szCs w:val="21"/>
        </w:rPr>
        <w:t xml:space="preserve">EDUCATION</w:t>
      </w:r>
    </w:p>
    <w:p>
      <w:pPr>
        <w:spacing w:after="60"/>
      </w:pPr>
      <w:r>
        <w:rPr>
          <w:sz w:val="21"/>
          <w:szCs w:val="21"/>
        </w:rPr>
        <w:t xml:space="preserve">Deakin University — MEd, Leadership &amp; Administration</w:t>
      </w:r>
    </w:p>
    <w:p>
      <w:pPr>
        <w:spacing w:after="60"/>
      </w:pPr>
      <w:r>
        <w:rPr>
          <w:sz w:val="21"/>
          <w:szCs w:val="21"/>
        </w:rPr>
        <w:t xml:space="preserve">Boston University — MA, Secondary English (Graduate Assistant Coaching Scholarship)</w:t>
      </w:r>
    </w:p>
    <w:p>
      <w:pPr>
        <w:spacing w:after="60"/>
      </w:pPr>
      <w:r>
        <w:rPr>
          <w:sz w:val="21"/>
          <w:szCs w:val="21"/>
        </w:rPr>
        <w:t xml:space="preserve">Northeastern University — BA, Psychology &amp; English Literature, Cum Laude (Baseball Scholarship); AmeriCorps, Athletes in Service to America (2021–2024)</w:t>
      </w:r>
    </w:p>
    <w:sectPr>
      <w:pgSz w:w="12240" w:h="15840" w:orient="portrait"/>
      <w:pgMar w:top="560" w:right="900" w:bottom="56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2026-08-06T07:01:12.835Z</dcterms:created>
  <dcterms:modified xsi:type="dcterms:W3CDTF">2026-08-06T07:01:12.835Z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